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15. Государственное регулирование внешнеэкономической деятельности.</w:t>
      </w:r>
    </w:p>
    <w:p w:rsidR="001E7C37" w:rsidRPr="00EB3529" w:rsidRDefault="001E7C37" w:rsidP="001E7C37">
      <w:pPr>
        <w:spacing w:line="360" w:lineRule="auto"/>
        <w:ind w:firstLine="709"/>
        <w:jc w:val="both"/>
      </w:pPr>
    </w:p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 xml:space="preserve">                15.1. Регулирование внешнеэкономической деятельности: содержание, виды, характер и инструменты.</w:t>
      </w:r>
    </w:p>
    <w:p w:rsidR="001E7C37" w:rsidRPr="00EB3529" w:rsidRDefault="001E7C37" w:rsidP="001E7C37">
      <w:pPr>
        <w:spacing w:line="360" w:lineRule="auto"/>
        <w:ind w:firstLine="709"/>
        <w:jc w:val="both"/>
      </w:pP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Внешнеэкономическая деятельность государства ныне действенно влияет на формирование структуры, динамику развития и устойчивость национальной экономики. В современной мировой экономике отмечаются интеграционные процессы (ЕС и др.), но в целом это конгломерат различных систем хозяйствования, раздираемых межгосударственными, региональными интересами. Следовательно, Казахстану необходимо реалистично оценить состояние своей экономики, и определить роль и место в будущем экономическом сообществе исходя из национальных интересов. В этих условиях весьма важное значение приобретает государственное регулирование внешнеэкономической деятельности.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Определение методов, механизмов и инструментов государственного регулирования основывается на теоретических выводах международных экономических отношений. В научной и учебной экономической литературе не сложилось четкого разграничения понятий «международные экономические отношения» и «внешнеэкономическая деятельность». Одни и те же понятия в одном случае называют формами, а в  другом случае видами. В одном случае перечень форм включает мировую торговлю и ряд других видов деятельности, в другом включает ту же мировую торговлю и некоторые другие вещи, которые перечислены в первом случае. Хотя по содержанию понятие «внешнеэкономическая деятельность» подразумевает занятие, труд, работу каких – либо органов, в то время как отношение выражает связь явлений, направление взаимной связи. Следовательно, торговля – это деятельность по реализации товаров, это вид деятельности, а внешняя торговля та же деятельность, направленная на внешние рынки. В процессе торговли устанавливаются связи. Наряду с этими понятиями существует понятие «международная торговля», которая отражает отношения, складывающиеся по поводу продажи и купли товаров и услуг между продавцами и покупателями различных стран как общее понятие выражающее всеобщее отношения.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Государство регулирует и работу, и связи, складывающиеся у субъектов отношений. Одно из различий между ними заключается в том, что от тех или иных мер государства деятельность субъектов может прекратиться или начинаться, а отношения могут продолжаться или еще не возобновляться. Допустим, торговля идет, а международных отношений нет.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lastRenderedPageBreak/>
        <w:t>Возникает вопрос – к чему такое уточнение? Ведь вопрос в данном случае заключается в том – какие органы власти и чем они должны заниматься? Кто и от каких органов власти должен получить ответ на свой запрос?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рассматриваемом случае внешнеэкономической деятельностью должны заниматься министерства и ведомства непосредственно связанные с экономическими, финансовыми, научными, технико – технологическими, социальными, культурными видами деятельности. Они непосредственно обязаны регулировать деятельность субъектов занятых в этих сферах с субъектами других стран. Межгосударственными соглашениями, следовательно, должны заниматься органы власти отвечающие за связи и направления связи граждан и учреждений установивших эти отношения (МИД, Правительство и др.).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Таким образом, субъектами ВЭД являются физические лица, фирмы, государство. К субъектам ВЭД относят также: торгово – промышленные палаты, торговые представительства стран в других государствах, внешнеэкономические посредники, международные организации как Всемирная торговая организация, Международный валютный фонд, Международный банк развития и реконструкции и др.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Объектами ВЭД являются – товары, услуги, информация, трудовые ресурсы, капитал, патенты. ВЭД осуществляется посредством экспорта и импорта товаров и услуг. Формы мирохозяйственных связей весьма разнообразны, как и разнообразна деятельность человека. Одни авторы их укрупняют, другие детализируют. В укрупненном виде к формам внешнеэкономической деятельности относят: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международную торговлю;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международную миграцию капиталов;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международную миграцию рабочей силы;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научные, технико – технологические, социально – культурные услуги;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производственно – техническое сотрудничество;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валютно – финансовые и кредитные отношения;</w:t>
      </w:r>
    </w:p>
    <w:p w:rsidR="001E7C37" w:rsidRPr="00EB3529" w:rsidRDefault="001E7C37" w:rsidP="001E7C37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транспортно – коммуникационное сотрудничество. Наличие удобных трансконтинентальных направлений грузопотоков создает условия для сближения страны с важнейшими международными рынками товаров и услуг. Поэтому для всех стран, в т.ч. и Казахстану, важно создать высокий коэффициент транзитивности своей территории, что и делается посредством строительства железных дорог, автомобильных магистралей, расширением и улучшением возможностей аэропортов.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Важнейшим фактором, способствующим укреплению двусторонних отношений и росту экономического сотрудничества, является институциональная составляющая. В Казахстане созданы и функционируют соответствующие органы власти. В числе их </w:t>
      </w:r>
      <w:r w:rsidRPr="00EB3529">
        <w:lastRenderedPageBreak/>
        <w:t>уполномоченный орган – Министерство экономического развития и торговли с соответствующими департаментами в регионах и городах Алматы и Астана, Национальный банк РК, Государственный таможенный комитет, другие министерства и ведомства, а также торгово – промышленная палата и.т.д.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Целями государственного регулирования ВЭД являются защита экономических интересов и суверенитета страны, экономической безопасности страны и поощрение внешнеэкономической активного функционирования участников этой деятельности. Исходя из этих целей определяются следующие задачи:</w:t>
      </w:r>
    </w:p>
    <w:p w:rsidR="001E7C37" w:rsidRPr="00EB3529" w:rsidRDefault="001E7C37" w:rsidP="001E7C3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формирование и продвижение стратегии развития ВЭД;</w:t>
      </w:r>
    </w:p>
    <w:p w:rsidR="001E7C37" w:rsidRPr="00EB3529" w:rsidRDefault="001E7C37" w:rsidP="001E7C3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установление критериев безопасности ввозимых и вывозимых товаров и услуг и установление соответствующего контроля;</w:t>
      </w:r>
    </w:p>
    <w:p w:rsidR="001E7C37" w:rsidRPr="00EB3529" w:rsidRDefault="001E7C37" w:rsidP="001E7C3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установление порядка поддержки участников ВЭД посредством стимулирования своих потребителей на мировом товарном рынке;</w:t>
      </w:r>
    </w:p>
    <w:p w:rsidR="001E7C37" w:rsidRPr="00EB3529" w:rsidRDefault="001E7C37" w:rsidP="001E7C3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создание условий для прогрессивных изменений в структуре производства и потребления товаров в РК;</w:t>
      </w:r>
    </w:p>
    <w:p w:rsidR="001E7C37" w:rsidRPr="00EB3529" w:rsidRDefault="001E7C37" w:rsidP="001E7C37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 w:rsidRPr="00EB3529">
        <w:t>обеспечение условий для эффективной интеграции РК в мировую экономику.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Государственное регулирование ВЭД осуществляется административными, организационно – управленческими и экономическими методами. Административно – организационные методы имеют характер прямого воздействия носящий, в основном, ограничительный характер. Экономические методы регулирования воздействуют на экономические интересы участников внешнеэкономической деятельности. 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административных методах регулирования используются следующие инструменты:</w:t>
      </w:r>
    </w:p>
    <w:p w:rsidR="001E7C37" w:rsidRPr="00EB3529" w:rsidRDefault="001E7C37" w:rsidP="001E7C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регистрация участников ВЭД;</w:t>
      </w:r>
    </w:p>
    <w:p w:rsidR="001E7C37" w:rsidRPr="00EB3529" w:rsidRDefault="001E7C37" w:rsidP="001E7C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декларирование товаров и имущества, перемещаемых через таможенную границу;</w:t>
      </w:r>
    </w:p>
    <w:p w:rsidR="001E7C37" w:rsidRPr="00EB3529" w:rsidRDefault="001E7C37" w:rsidP="001E7C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порядок экспорта и импорта товаров;</w:t>
      </w:r>
    </w:p>
    <w:p w:rsidR="001E7C37" w:rsidRPr="00EB3529" w:rsidRDefault="001E7C37" w:rsidP="001E7C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меры оперативного регулирования ВЭД посредством санкций и других мер;</w:t>
      </w:r>
    </w:p>
    <w:p w:rsidR="001E7C37" w:rsidRPr="00EB3529" w:rsidRDefault="001E7C37" w:rsidP="001E7C3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нетарифное регулирование.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экономических методах регулирования используются следующие инструменты: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валютный контроль;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таможенные тарифы;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таможенные пошлины;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фискальная политика;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амортизационная политика;</w:t>
      </w:r>
    </w:p>
    <w:p w:rsidR="001E7C37" w:rsidRPr="00EB3529" w:rsidRDefault="001E7C37" w:rsidP="001E7C37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>денежная и кредитная политика.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организационно – управленческом методе используются следующие инструменты:</w:t>
      </w:r>
    </w:p>
    <w:p w:rsidR="001E7C37" w:rsidRPr="00EB3529" w:rsidRDefault="001E7C37" w:rsidP="001E7C3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лицензирование и квотирование порядка экспорта и импорта товаров;</w:t>
      </w:r>
    </w:p>
    <w:p w:rsidR="001E7C37" w:rsidRPr="00EB3529" w:rsidRDefault="001E7C37" w:rsidP="001E7C3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антимонопольное законодательство;</w:t>
      </w:r>
    </w:p>
    <w:p w:rsidR="001E7C37" w:rsidRPr="00EB3529" w:rsidRDefault="001E7C37" w:rsidP="001E7C3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товарная сертификация и санитарно – эпидемиологический надзор;</w:t>
      </w:r>
    </w:p>
    <w:p w:rsidR="001E7C37" w:rsidRPr="00EB3529" w:rsidRDefault="001E7C37" w:rsidP="001E7C37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защита интеллектуальной, имущественной собственности граждан, предприятий и учреждений Республики Казахстан.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Соотношение экономических и административно – организационных методов воздействия внешнеэкономической деятельности на национальную экономику определяет характер национальной экономики. В чистом виде протекционизм или открытая экономика во внешнеэкономической деятельности государств на сегодняшний день не встречаются. Административно – организационные формы воздействия на участников внешнеэкономической деятельности имеют место у развивающихся стран, защищающих свою экономику. Внешнеэкономическая политика, носящая умеренный характер, проявляется в определенном сочетании элементов открытой экономики и протекционизма.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Все вышеназванные формы, методы и инструменты внешнеэкономической деятельности в межгосударственных делах формировались и оттачивались веками. Теоретической основой их являлись теория меркантилизма, инструментом которой являлись протекционистские меры по сдерживанию импорта и стимулированию экспорта.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С развитием производительных сил и переходом к машинному производству, развитием промышленного производства товаров появилась теория фритредерства или свободной торговли, которая сняла многие барьеры для развития внешнеэкономической деятельности.</w:t>
      </w:r>
    </w:p>
    <w:p w:rsidR="001E7C37" w:rsidRPr="00EB3529" w:rsidRDefault="001E7C37" w:rsidP="001E7C37">
      <w:pPr>
        <w:spacing w:line="360" w:lineRule="auto"/>
        <w:ind w:firstLine="709"/>
        <w:jc w:val="both"/>
      </w:pPr>
    </w:p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15. 2. Регулирование внешнеторговой деятельности.</w:t>
      </w:r>
    </w:p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Во внешнеэкономической деятельности первой и наиболее важной является внешняя торговля. Современная внешняя торговля в мировой экономике происходит в условиях, где национальная экономика, при членстве в ВТО, является открытой экономикой. При вхождении в ВТО государство – заявитель подает заявление о намерении стать членом этой международной экономической организации. Членами ВТО назначается комиссия. Так, Казахстан такое заявление подал в </w:t>
      </w:r>
      <w:smartTag w:uri="urn:schemas-microsoft-com:office:smarttags" w:element="metricconverter">
        <w:smartTagPr>
          <w:attr w:name="ProductID" w:val="1996 г"/>
        </w:smartTagPr>
        <w:r w:rsidRPr="00EB3529">
          <w:t>1996 г</w:t>
        </w:r>
      </w:smartTag>
      <w:r w:rsidRPr="00EB3529">
        <w:t xml:space="preserve">. Назначена комиссия из 43 государств – членов этой организации. Из них 26 изъявили желание провести переговорный процесс. На середину апреля </w:t>
      </w:r>
      <w:smartTag w:uri="urn:schemas-microsoft-com:office:smarttags" w:element="metricconverter">
        <w:smartTagPr>
          <w:attr w:name="ProductID" w:val="2011 г"/>
        </w:smartTagPr>
        <w:r w:rsidRPr="00EB3529">
          <w:t>2011 г</w:t>
        </w:r>
      </w:smartTag>
      <w:r w:rsidRPr="00EB3529">
        <w:t xml:space="preserve">. завершены переговоры со всеми государствами за </w:t>
      </w:r>
      <w:r w:rsidRPr="00EB3529">
        <w:lastRenderedPageBreak/>
        <w:t xml:space="preserve">исключением Саудовской Аравии. То есть, вступление в ВТО – есть длительный переговорный процесс, где каждая страна защищает свои интересы в ходе двусторонних переговоров. Государства, защищая свои экономические интересы и безопасность, проводят и все еще используют определенную систему протекционистских мер. 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регулирование внешнеторговой деятельности представляет собой координированное воздействие на процессы, обеспечивающие эффективное функционирование экономики, посредством законодательного, регулирующего и контролирующего характера. Внешнеторговая политика представляет собой регулирование торговых отношений с другими странами в целях обеспечения доступа отечественных организаций на мировой рынок, защиты отечественных организаций от недобросовестной конкуренции со стороны предприятий других стран, поощрений изменения структуры экспорта и импорта, финансово – информационной поддержки отечественных организаций в продвижении товаров и услуг на мировой рынок.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регулирование внешнеторговой деятельности основывается на Конституции РК и осуществляется в соответствии с государственными законами и нормативными актами, а также общепризнанными принципами и нормами международного права и международными договорами. В систему правового регулирования входят: Таможенный Кодекс РК, Закон РК «О таможенном тарифе», Закон РК «О регулировании торговой деятельности», Закон РК «О свободных экономических зонах», Закон РК «О приграничной торговле».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Формами государственного регулирования внешнеторговой деятельности являются: определение порядка осуществления деятельности, определение условий перемещения товаров через таможенную границу, стимулирование развития экспортной деятельности, государственный контроль и надзор за торговой деятельностью.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Инструментами государственного регулирования внешнеторговой деятельности являются: таможенно – тарифное регулирование, нетарифное регулирование, применение тарифных квот, применение специальных, защитных, антидемпинговых и компенсационных мер, приостановление продаж и запрет на продажу товаров, участие в международных экономических санкциях. Государство к тому же законодательно определяет компетенцию Правительства РК, уполномоченного органа и местных органов власти.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Регулятивный процесс включает государственные меры по развитию внешнеторговой деятельности, к числу которых относятся:</w:t>
      </w:r>
    </w:p>
    <w:p w:rsidR="001E7C37" w:rsidRPr="00EB3529" w:rsidRDefault="001E7C37" w:rsidP="001E7C3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обеспечение функционирования систем гарантий и страхования экспортных кредитов; </w:t>
      </w:r>
    </w:p>
    <w:p w:rsidR="001E7C37" w:rsidRPr="00EB3529" w:rsidRDefault="001E7C37" w:rsidP="001E7C3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 xml:space="preserve">организация торговых выставок, ярмарок и др. мероприятий, способствующих развитию внешнеторговой деятельности; </w:t>
      </w:r>
    </w:p>
    <w:p w:rsidR="001E7C37" w:rsidRPr="00EB3529" w:rsidRDefault="001E7C37" w:rsidP="001E7C3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обеспечение создания системы внешнеторговой информации и информационно – консультационных служб; </w:t>
      </w:r>
    </w:p>
    <w:p w:rsidR="001E7C37" w:rsidRPr="00EB3529" w:rsidRDefault="001E7C37" w:rsidP="001E7C3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реализация других форм стимулирования и поощрения внешнеторговой деятельности.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К инструментам государственного регулирования внешнеторговой деятельности относится широкий набор мер, которые делятся на общие и специальные инструменты. 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Общие инструменты в виде инвестиционной политики, денежно – кредитной и других видов экономической политики, которые оказывают регулирующие воздействие на состояние национальной экономики и тем самым создают материальную базу ВЭД.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К специальным инструментам обычно относят: таможенно – тарифное регулирование, нетарифное регулирование, компенсационные меры, а также в казахстанском законодательстве предусмотрены запреты или ограничения. В мировой практике и учебной литературе, в качестве специального инструмента внешнеторговой деятельности, выделяют прямое содействие в осуществлении ВЭД.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 Тарифные инструменты государственного регулирования внешнеторговых отношений осуществляется посредством системы таможенных пошлин. Таможенные пошлины выполняют три основные функции: </w:t>
      </w:r>
    </w:p>
    <w:p w:rsidR="001E7C37" w:rsidRPr="00EB3529" w:rsidRDefault="001E7C37" w:rsidP="001E7C3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фискальную – пополнение государственного бюджета; </w:t>
      </w:r>
    </w:p>
    <w:p w:rsidR="001E7C37" w:rsidRPr="00EB3529" w:rsidRDefault="001E7C37" w:rsidP="001E7C3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протекционистскую – защита отечественных производителей;</w:t>
      </w:r>
    </w:p>
    <w:p w:rsidR="001E7C37" w:rsidRPr="00EB3529" w:rsidRDefault="001E7C37" w:rsidP="001E7C37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регулирующую – регулирование товарных потоков в страну и из страны. 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Таможенные пошлины основываются на таможенных тарифах – импортный и экспортный таможенный тариф.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Нетарифные инструменты вводятся для ограничения внешней торговли прямыми и косвенными методами. Прямые методы используют такие инструменты как квотирование, лицензирование, добровольное ограничение экспорта, антидемпинговые пошлины, компенсационные пошлины и сборы. Косвенные методы осуществляются посредством скрытых инструментов, включающих технические, санитарные, ветеринарные и другие требования, а также выполнения административных и таможенных формальностей. Финансовые инструменты осуществляются посредством импортных депозитов, субсидирования экспорта и кредитования экспорта.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В системе нетарифных методов еще различают паритарифные барьеры, которые увеличивают стоимость импортируемых товаров сверх таможенной пошлины. К числу факторов увеличивающих стоимость импортируемых товаров относят внутренние налоги </w:t>
      </w:r>
      <w:r w:rsidRPr="00EB3529">
        <w:lastRenderedPageBreak/>
        <w:t>и сборы, различные таможенные сборы за оформление, хранение, таможенное сопровождение, регистрационные и иные сборы, специальные налоги, добавочные пошлины и др. Кроме этого, проводится декретирование таможенной оценки, т.е. проводится установление таможенной стоимости определенных товаров, применяемой для исчисления таможенных пошлин и сборов в административном порядке.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Казахстане устанавливаются ввозные и вывозные таможенные пошлины.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К нетарифному регулированию внешнеторговой деятельности в Казахстане также относят: </w:t>
      </w:r>
    </w:p>
    <w:p w:rsidR="001E7C37" w:rsidRPr="00EB3529" w:rsidRDefault="001E7C37" w:rsidP="001E7C37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запрет или ограничение, в т.ч. и количественное; </w:t>
      </w:r>
    </w:p>
    <w:p w:rsidR="001E7C37" w:rsidRPr="00EB3529" w:rsidRDefault="001E7C37" w:rsidP="001E7C37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участие в выполнении международных экономических санкций;</w:t>
      </w:r>
    </w:p>
    <w:p w:rsidR="001E7C37" w:rsidRPr="00EB3529" w:rsidRDefault="001E7C37" w:rsidP="001E7C37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государственная монополия на ввоз и вывоз товаров; </w:t>
      </w:r>
    </w:p>
    <w:p w:rsidR="001E7C37" w:rsidRPr="00EB3529" w:rsidRDefault="001E7C37" w:rsidP="001E7C37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технические, фармацевтические, санитарные, ветеринарные, фитосанитарные, экологические стандарты, нормы и требования, контроль за качеством ввозимых товаров.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нетарифном регулировании важнейшим инструментом является квотирование, посредством которого определяется количественное или стоимостное ограничение экспорта или импорта товаров и услуг. Правительство Казахстана устанавливает тарифные квоты в целях обеспечения минимального доступа иностранных товаров на рынок и доступ иностранных товаров на рынок с учетом потребностей и емкости рынка.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Государственная монополия на ввоз и вывоз товаров в Казахстане осуществляется посредством лицензирования. Лицензии выдаются государственным предприятиям Правительством РК или на конкурсной основе. 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современной мировой торговле широко используется такой инструмент как субсидирование внешней торговли и государственный протекционизм, реализуемые через деятельность специальных институтов по развитию и продвижению товаров  (</w:t>
      </w:r>
      <w:r w:rsidRPr="00EB3529">
        <w:rPr>
          <w:lang w:val="en-US"/>
        </w:rPr>
        <w:t>Trade</w:t>
      </w:r>
      <w:r w:rsidRPr="00EB3529">
        <w:t xml:space="preserve"> </w:t>
      </w:r>
      <w:r w:rsidRPr="00EB3529">
        <w:rPr>
          <w:lang w:val="en-US"/>
        </w:rPr>
        <w:t>Promotion</w:t>
      </w:r>
      <w:r w:rsidRPr="00EB3529">
        <w:t xml:space="preserve"> </w:t>
      </w:r>
      <w:r w:rsidRPr="00EB3529">
        <w:rPr>
          <w:lang w:val="en-US"/>
        </w:rPr>
        <w:t>Organizations</w:t>
      </w:r>
      <w:r w:rsidRPr="00EB3529">
        <w:t xml:space="preserve">), осуществляющих всестороннюю поддержку экспортоориентированных производств. Такие национальные организации содействия торговли имеют место почти во всех странах. Например, </w:t>
      </w:r>
      <w:r w:rsidRPr="00EB3529">
        <w:rPr>
          <w:lang w:val="en-US"/>
        </w:rPr>
        <w:t>Korea</w:t>
      </w:r>
      <w:r w:rsidRPr="00EB3529">
        <w:t xml:space="preserve"> (Южная Корея), </w:t>
      </w:r>
      <w:r w:rsidRPr="00EB3529">
        <w:rPr>
          <w:lang w:val="en-US"/>
        </w:rPr>
        <w:t>UK</w:t>
      </w:r>
      <w:r w:rsidRPr="00EB3529">
        <w:t xml:space="preserve"> </w:t>
      </w:r>
      <w:r w:rsidRPr="00EB3529">
        <w:rPr>
          <w:lang w:val="en-US"/>
        </w:rPr>
        <w:t>Trade</w:t>
      </w:r>
      <w:r w:rsidRPr="00EB3529">
        <w:t xml:space="preserve"> </w:t>
      </w:r>
      <w:r w:rsidRPr="00EB3529">
        <w:rPr>
          <w:lang w:val="en-US"/>
        </w:rPr>
        <w:t>and</w:t>
      </w:r>
      <w:r w:rsidRPr="00EB3529">
        <w:t xml:space="preserve"> </w:t>
      </w:r>
      <w:r w:rsidRPr="00EB3529">
        <w:rPr>
          <w:lang w:val="en-US"/>
        </w:rPr>
        <w:t>Investment</w:t>
      </w:r>
      <w:r w:rsidRPr="00EB3529">
        <w:t xml:space="preserve"> (Великобритания), </w:t>
      </w:r>
      <w:r w:rsidRPr="00EB3529">
        <w:rPr>
          <w:lang w:val="en-US"/>
        </w:rPr>
        <w:t>Austrade</w:t>
      </w:r>
      <w:r w:rsidRPr="00EB3529">
        <w:t xml:space="preserve"> (Австралия) и др., которые берут на себя важную роль в поддержке экспортных инициатив частного сектора при помощи различных программ по оказанию содействия и услугам. Ведущие мировые державы, зрелые экспортеры широко применяют инструменты государственной поддержки экспорта.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Казахстан занимает 48 место среди мировых экспортеров с ежегодными  темпами роста экспорта в 16% в течение 2005 – 2009 годов. По некоторым экспортным статьям РК занимает ведущие места в рейтинге мировых экспортеров. Казахстан является мировым лидером в экспорте оксидов и гидроксидов хрома, кварца, битумных смесей на основе </w:t>
      </w:r>
      <w:r w:rsidRPr="00EB3529">
        <w:lastRenderedPageBreak/>
        <w:t xml:space="preserve">природного асфальта и нефтяного битума.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Казахстан по экспорту пшеничной муки занял второе место в мире после Турции, а в 2008 и 2011 г. г.– первое. Максимальный объем внешнеторгового оборота зафиксирован в </w:t>
      </w:r>
      <w:smartTag w:uri="urn:schemas-microsoft-com:office:smarttags" w:element="metricconverter">
        <w:smartTagPr>
          <w:attr w:name="ProductID" w:val="2008 г"/>
        </w:smartTagPr>
        <w:r w:rsidRPr="00EB3529">
          <w:t>2008 г</w:t>
        </w:r>
      </w:smartTag>
      <w:r w:rsidRPr="00EB3529">
        <w:t xml:space="preserve">. в размере 109,1 млрд. долларов США.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>. из-за мирового финансово – экономического кризиса и уменьшения спроса на основные сырьевые и энергетические ресурсы, объем оборота снизился на 39% и составил 43,2 млрд. долл. США.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В структуре казахстанского экспорта доля потребительских товаров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составила 12,2% и из года в год колеблется в пределах 1,5 млрд. долл., а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>. составил 2 млрд. долл. США, экспорт средств производства за последние пять лет не превышает 500 млн. долл.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Чистый экспорт на протяжении последних пяти лет стабильно имеет положительное значение, и среднегодовой прирост составил 9% за счет преобладающего экспорта минеральных продуктов, металлов и изделий из них. В 2007 – 2008 гг. были отмечены максимальные объемы ввоза товарной группы «Машины, оборудование, транспортные средства, приборы и аппараты», что позволило обновить производственные мощности многих предприятий. Чистый экспорт по зерну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составил 625 млн. долл., а по муке 560 млн. долл.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 xml:space="preserve">. экспорт пшеницы вырос до 5,1 млрд. тонн, муки до 2,4 млн. тонн, молочной продукции было ввезено на 285 млн. долл. больше чем вывезено, а сахара на 245 млн. долл. Тем не менее, эффективность казахстанского экспорта еще довольно низка, т.к. ее основу составляют сырьевые и энергетические товары. Экспорт минеральных товаров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>. в стоимостном выражении составил около 44,4 млрд. долл. и металлов около 7,9 млрд. долл., продукция химической промышленности более 3 млрд. долл., товаров животного и растительного происхождения около 2 млрд. долл.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Объемы импорта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 xml:space="preserve">. росли умеренными темпами и отражали состояние экономики. Доля машин и оборудования выросла до 43,2%, химической продукции и пластмасс до 14,3%, минеральных продуктов до 10,9%, продовольственных товаров и сырья для их производства до 9,7%. Ввоз легковых автомобилей в докризисный период доходил до 400 тысяч штук, а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 xml:space="preserve">. эта цифра снизилась до 26,7 тысяч. В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>. покупка машин и оборудования обошлась в 11,6 млрд. долл., товаров химической промышленности в 4,2 млрд. долл., продовольственных товаров – 3 млрд. долл. США.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Прогноз объема экспорта на 2011 год Правительством оценивался на уровне 51,9 млрд. и сальдо торгового баланса – 18,8 млрд. долл. при уровне цен за баррель нефти в 65 долл.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Остается уповать на благоприятную ценовую конъюнктуру на мировых товарных рынках и на планомерную реализацию государственных программ по созданию новых </w:t>
      </w:r>
      <w:r w:rsidRPr="00EB3529">
        <w:lastRenderedPageBreak/>
        <w:t xml:space="preserve">предприятий с использованием инновационных мер. К этому подвигают и показатели общего торгового оборота импорта на мировых рынках. Так,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этот показатель оценивался в 12,4 трлн. долл. Лидером торговли по объему импорта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являлись США – 1,6 трлн. долл., КНР – 1,005 трлн. долл. и ФРГ - 0,94 трлн. долл.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 xml:space="preserve">. объем экспорта превысил объем импорта КНР на 196 млрд. долл. Сокращение объема торговли в </w:t>
      </w:r>
      <w:smartTag w:uri="urn:schemas-microsoft-com:office:smarttags" w:element="metricconverter">
        <w:smartTagPr>
          <w:attr w:name="ProductID" w:val="2009 г"/>
        </w:smartTagPr>
        <w:r w:rsidRPr="00EB3529">
          <w:t>2009 г</w:t>
        </w:r>
      </w:smartTag>
      <w:r w:rsidRPr="00EB3529">
        <w:t>. у Японии составило 24,9%, ЕС – 14.8%, США – 13,9%.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На этом фоне показатели РК выглядят неплохо (см. таблицу), но вся проблема в структуре экспорта и импорта. Остается уповать на показатель «казахстанское содержание», которое подвинет казахстанских производителей на активное освоение обрабатывающих отраслей и продвижение товаров и услуг на внешние рынки, и увеличит их долю в общем объеме внешнеторговой деятельности. </w:t>
      </w:r>
    </w:p>
    <w:p w:rsidR="001E7C37" w:rsidRPr="00EB3529" w:rsidRDefault="001E7C37" w:rsidP="001E7C37">
      <w:pPr>
        <w:spacing w:line="360" w:lineRule="auto"/>
        <w:ind w:firstLine="709"/>
        <w:jc w:val="both"/>
      </w:pP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Таблица - Динамика внешнеторгового оборота Казахстана (млн. долл. США)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469"/>
        <w:gridCol w:w="1469"/>
        <w:gridCol w:w="1470"/>
        <w:gridCol w:w="1470"/>
        <w:gridCol w:w="1469"/>
      </w:tblGrid>
      <w:tr w:rsidR="001E7C37" w:rsidRPr="00EB3529" w:rsidTr="004740B4">
        <w:trPr>
          <w:jc w:val="right"/>
        </w:trPr>
        <w:tc>
          <w:tcPr>
            <w:tcW w:w="1044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</w:pP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</w:pPr>
            <w:r w:rsidRPr="00EB3529">
              <w:t>2007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</w:pPr>
            <w:r w:rsidRPr="00EB3529">
              <w:t>2008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</w:pPr>
            <w:r w:rsidRPr="00EB3529">
              <w:t>2009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</w:pPr>
            <w:r w:rsidRPr="00EB3529">
              <w:t>2010</w:t>
            </w:r>
          </w:p>
        </w:tc>
        <w:tc>
          <w:tcPr>
            <w:tcW w:w="790" w:type="pct"/>
          </w:tcPr>
          <w:p w:rsidR="001E7C37" w:rsidRPr="00EB3529" w:rsidRDefault="001E7C37" w:rsidP="004740B4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EB3529">
              <w:rPr>
                <w:lang w:val="en-US"/>
              </w:rPr>
              <w:t>2011</w:t>
            </w:r>
          </w:p>
        </w:tc>
      </w:tr>
      <w:tr w:rsidR="001E7C37" w:rsidRPr="00EB3529" w:rsidTr="004740B4">
        <w:trPr>
          <w:jc w:val="right"/>
        </w:trPr>
        <w:tc>
          <w:tcPr>
            <w:tcW w:w="1044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Внешнеторговый оборот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80511.7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109072.6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71604.4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88976.6</w:t>
            </w:r>
          </w:p>
        </w:tc>
        <w:tc>
          <w:tcPr>
            <w:tcW w:w="790" w:type="pct"/>
          </w:tcPr>
          <w:p w:rsidR="001E7C37" w:rsidRPr="00EB3529" w:rsidRDefault="001E7C37" w:rsidP="004740B4">
            <w:pPr>
              <w:spacing w:line="360" w:lineRule="auto"/>
              <w:jc w:val="both"/>
              <w:rPr>
                <w:lang w:val="en-US"/>
              </w:rPr>
            </w:pPr>
            <w:r w:rsidRPr="00EB3529">
              <w:rPr>
                <w:lang w:val="en-US"/>
              </w:rPr>
              <w:t>129500.0</w:t>
            </w:r>
          </w:p>
        </w:tc>
      </w:tr>
      <w:tr w:rsidR="001E7C37" w:rsidRPr="00EB3529" w:rsidTr="004740B4">
        <w:trPr>
          <w:jc w:val="right"/>
        </w:trPr>
        <w:tc>
          <w:tcPr>
            <w:tcW w:w="1044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Экспорт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47755.3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71183.6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43195.7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59216.6</w:t>
            </w:r>
          </w:p>
        </w:tc>
        <w:tc>
          <w:tcPr>
            <w:tcW w:w="790" w:type="pct"/>
          </w:tcPr>
          <w:p w:rsidR="001E7C37" w:rsidRPr="00EB3529" w:rsidRDefault="001E7C37" w:rsidP="004740B4">
            <w:pPr>
              <w:spacing w:line="360" w:lineRule="auto"/>
              <w:jc w:val="both"/>
              <w:rPr>
                <w:lang w:val="en-US"/>
              </w:rPr>
            </w:pPr>
            <w:r w:rsidRPr="00EB3529">
              <w:rPr>
                <w:lang w:val="en-US"/>
              </w:rPr>
              <w:t>88500.0</w:t>
            </w:r>
          </w:p>
        </w:tc>
      </w:tr>
      <w:tr w:rsidR="001E7C37" w:rsidRPr="00EB3529" w:rsidTr="004740B4">
        <w:trPr>
          <w:jc w:val="right"/>
        </w:trPr>
        <w:tc>
          <w:tcPr>
            <w:tcW w:w="1044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Импорт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32756.4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37889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28408.7</w:t>
            </w:r>
          </w:p>
        </w:tc>
        <w:tc>
          <w:tcPr>
            <w:tcW w:w="791" w:type="pct"/>
          </w:tcPr>
          <w:p w:rsidR="001E7C37" w:rsidRPr="00EB3529" w:rsidRDefault="001E7C37" w:rsidP="004740B4">
            <w:pPr>
              <w:spacing w:line="360" w:lineRule="auto"/>
              <w:jc w:val="both"/>
            </w:pPr>
            <w:r w:rsidRPr="00EB3529">
              <w:t>29760</w:t>
            </w:r>
          </w:p>
        </w:tc>
        <w:tc>
          <w:tcPr>
            <w:tcW w:w="790" w:type="pct"/>
          </w:tcPr>
          <w:p w:rsidR="001E7C37" w:rsidRPr="00EB3529" w:rsidRDefault="001E7C37" w:rsidP="004740B4">
            <w:pPr>
              <w:spacing w:line="360" w:lineRule="auto"/>
              <w:jc w:val="both"/>
              <w:rPr>
                <w:lang w:val="en-US"/>
              </w:rPr>
            </w:pPr>
            <w:r w:rsidRPr="00EB3529">
              <w:rPr>
                <w:lang w:val="en-US"/>
              </w:rPr>
              <w:t>41000.0</w:t>
            </w:r>
          </w:p>
        </w:tc>
      </w:tr>
    </w:tbl>
    <w:p w:rsidR="001E7C37" w:rsidRPr="00EB3529" w:rsidRDefault="001E7C37" w:rsidP="001E7C37">
      <w:pPr>
        <w:spacing w:line="360" w:lineRule="auto"/>
        <w:ind w:firstLine="709"/>
        <w:jc w:val="both"/>
      </w:pPr>
    </w:p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  <w:r w:rsidRPr="00EB3529">
        <w:rPr>
          <w:b/>
        </w:rPr>
        <w:t>15. 3. Государственное регулирование движение капитала.</w:t>
      </w:r>
    </w:p>
    <w:p w:rsidR="001E7C37" w:rsidRPr="00EB3529" w:rsidRDefault="001E7C37" w:rsidP="001E7C37">
      <w:pPr>
        <w:spacing w:line="360" w:lineRule="auto"/>
        <w:ind w:firstLine="709"/>
        <w:jc w:val="both"/>
        <w:rPr>
          <w:b/>
        </w:rPr>
      </w:pP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Развитие системы институциональных и индивидуальных инвесторов определяет важное направление внешнеэкономической деятельности государства в регулировании иностранных инвестиций и вывоза капитала в зарубежные страны. Последние десятилетия характеризуются инвестиционными вложениями все большего числа владельцев капитала различных стран, а также вывозом капитала из развивающихся стран. Следует отметить, что особенностью современного процесса мирового хозяйствования является то, что многие страны являются одновременно и импортерами и экспортерами капитала. Инвестиции осуществляются в различных формах – ссудные инвестиции, прямые и портфельные; выбор формы зависит от хозяйственной конъюнктуры.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регулирование движения капитала осуществляется в двух основных формах:</w:t>
      </w:r>
    </w:p>
    <w:p w:rsidR="001E7C37" w:rsidRPr="00EB3529" w:rsidRDefault="001E7C37" w:rsidP="001E7C3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инвестиции в национальную экономику иностранного капитала;</w:t>
      </w:r>
    </w:p>
    <w:p w:rsidR="001E7C37" w:rsidRPr="00EB3529" w:rsidRDefault="001E7C37" w:rsidP="001E7C3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вывоз капитала в экономику других стран.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lastRenderedPageBreak/>
        <w:t>Государственное регулирование иностранных инвестиций связано с формированием институциональных структур и комплексом мер направленных на защиту, поддержку и повышение эффективности политики капиталовложений из-за рубежа. Все это вызвало политику либерализации режима иностранных инвестиций. Это связано с тем, что импорт капитала ведет к привлечению дополнительных финансовых и материальных ресурсов в национальную экономику и решает проблемы труда и занятости населения, социальные вопросы, а также решает проблемы накопления капитала в стране импортере и создает условия экономического роста. Вместе с тем, если в стране происходит неконтролируемое вливание иностранных инвестиций, то может создаться угроза национальной безопасности. Угроза безопасности страны произойдет из-за чрезмерно большого объема вывоза иностранными компаниями сырья и капитала, а также ограничения деятельности национального капитала. Все это требует использования таких методов и инструментов в механизме движения капиталов, которые способствовали бы поступательному движению национальной экономики.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В системе воздействия государства на иностранное инвестирование в национальную экономику определяют два метода:</w:t>
      </w:r>
    </w:p>
    <w:p w:rsidR="001E7C37" w:rsidRPr="00EB3529" w:rsidRDefault="001E7C37" w:rsidP="001E7C37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привлечение иностранных инвестиций;</w:t>
      </w:r>
    </w:p>
    <w:p w:rsidR="001E7C37" w:rsidRPr="00EB3529" w:rsidRDefault="001E7C37" w:rsidP="001E7C37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ограничение иностранных инвестиций.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При использовании первого метода государство проводит следующие регулятивные меры: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налоговые и таможенные меры;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гарантии правовой защиты иностранных инвестиций;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гарантии использования доходов;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гласность в деятельности государственных органов власти;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возможность возвращения капитала с прибылью;</w:t>
      </w:r>
    </w:p>
    <w:p w:rsidR="001E7C37" w:rsidRPr="00EB3529" w:rsidRDefault="001E7C37" w:rsidP="001E7C3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создание свободных экономических зон и предоставление концессий.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К инструментам ограничительных мер относятся:</w:t>
      </w:r>
    </w:p>
    <w:p w:rsidR="001E7C37" w:rsidRPr="00EB3529" w:rsidRDefault="001E7C37" w:rsidP="001E7C3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установление ограничительной доли иностранцев в уставном капитале совместных предприятий;</w:t>
      </w:r>
    </w:p>
    <w:p w:rsidR="001E7C37" w:rsidRPr="00EB3529" w:rsidRDefault="001E7C37" w:rsidP="001E7C3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оговорки в отношении создания предприятий с иностранными инвестициями;</w:t>
      </w:r>
    </w:p>
    <w:p w:rsidR="001E7C37" w:rsidRPr="00EB3529" w:rsidRDefault="001E7C37" w:rsidP="001E7C3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оговорки о необходимости использования местных факторов и компонентов производства (казахстанское содержание).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По состоянию национальной экономики в текущем моменте, а также в зависимости от состояния мировой и региональной экономики государственные органы власти определяют в каком направлении действовать, а именно – ограничивать приток капитала </w:t>
      </w:r>
      <w:r w:rsidRPr="00EB3529">
        <w:lastRenderedPageBreak/>
        <w:t>или стимулировать приток капитала и какие инструменты инвестиционной политики использовать.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регулирование экспорта капитала осуществляется посредством информационной и технической поддержки инвесторов, в организации технико – экономического обоснования проекта, анализе бизнес – плана, в финансировании инвестиционного проекта, в предоставлении налоговых льгот, кредитования и страхования.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регулирование экспорта капитала может быть направлено на ограничение незаконного вывоза капитала, на пресечение криминального капитала.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Государственное стимулирование и поддержка инвестиций в Казахстане отражены в Законе РК «Об инвестициях». Механизм осуществления государственной поддержки инвестиций заключается в следующем:</w:t>
      </w:r>
    </w:p>
    <w:p w:rsidR="001E7C37" w:rsidRPr="00EB3529" w:rsidRDefault="001E7C37" w:rsidP="001E7C3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освобождение от уплаты корпоративного подоходного налога и налога на имущество;</w:t>
      </w:r>
    </w:p>
    <w:p w:rsidR="001E7C37" w:rsidRPr="00EB3529" w:rsidRDefault="001E7C37" w:rsidP="001E7C3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вводится институт добровольного страхования в соответствии с международной практикой страхования некоммерческих рисков;</w:t>
      </w:r>
    </w:p>
    <w:p w:rsidR="001E7C37" w:rsidRPr="00EB3529" w:rsidRDefault="001E7C37" w:rsidP="001E7C3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кардинально изменен порядок разрешения инвестиционных споров, а именно допускается разрешение споров в международных арбитражных органах;</w:t>
      </w:r>
    </w:p>
    <w:p w:rsidR="001E7C37" w:rsidRPr="00EB3529" w:rsidRDefault="001E7C37" w:rsidP="001E7C3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предоставление инвестиционных преференций.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Основным условием предоставления инвестиционных преференций является необходимость осуществления инвестиций в приоритетные отрасли экономики.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Государственная поддержка инвестиций осуществляется посредством: </w:t>
      </w:r>
    </w:p>
    <w:p w:rsidR="001E7C37" w:rsidRPr="00EB3529" w:rsidRDefault="001E7C37" w:rsidP="001E7C37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предоставления таможенных льгот при импортировании оборудования и комплектующих к нему для приоритетных отраслей экономики, </w:t>
      </w:r>
    </w:p>
    <w:p w:rsidR="001E7C37" w:rsidRPr="00EB3529" w:rsidRDefault="001E7C37" w:rsidP="001E7C37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освобождения от таможенной пошлины на срок действия контракта, но не более 5 лет с момента регистрации контракта.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>Государственные натурные гранты предоставляются уполномоченными органами по согласованию с органами власти по управлению государственным имуществом, земельными ресурсами, местными исполнительными органами. В качестве натурных грантов могут передаваться земельные участки, здания, сооружения, машины и оборудование, вычислительная техника, измерительные и регулирующие приборы и устройства, производственный и хозяйственный инвентарь, грузовой и пассажирский автотранспорт.</w:t>
      </w:r>
    </w:p>
    <w:p w:rsidR="001E7C37" w:rsidRPr="00EB3529" w:rsidRDefault="001E7C37" w:rsidP="001E7C37">
      <w:pPr>
        <w:spacing w:line="360" w:lineRule="auto"/>
        <w:ind w:firstLine="709"/>
        <w:jc w:val="both"/>
      </w:pPr>
      <w:r w:rsidRPr="00EB3529">
        <w:t xml:space="preserve">Приведенный подход к предоставлению инвестиционных преференций обеспечит целевое использование мер государственной поддержки и эффективности реализации инвестиционных проектов. </w:t>
      </w:r>
    </w:p>
    <w:p w:rsidR="001E7C37" w:rsidRPr="00EB3529" w:rsidRDefault="001E7C37" w:rsidP="001E7C37">
      <w:pPr>
        <w:spacing w:line="360" w:lineRule="auto"/>
        <w:jc w:val="both"/>
      </w:pPr>
    </w:p>
    <w:p w:rsidR="001E7C37" w:rsidRPr="00EB3529" w:rsidRDefault="001E7C37" w:rsidP="001E7C37">
      <w:pPr>
        <w:spacing w:line="360" w:lineRule="auto"/>
        <w:jc w:val="both"/>
      </w:pPr>
      <w:r w:rsidRPr="00EB3529">
        <w:t>Литература: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 xml:space="preserve">Бибатырова И.А., Сагындыкова Г.К. «Государственное регулирование национальной экономики». Алматы. </w:t>
      </w:r>
      <w:smartTag w:uri="urn:schemas-microsoft-com:office:smarttags" w:element="metricconverter">
        <w:smartTagPr>
          <w:attr w:name="ProductID" w:val="2008 г"/>
        </w:smartTagPr>
        <w:r w:rsidRPr="00EB3529">
          <w:t>2008 г</w:t>
        </w:r>
      </w:smartTag>
      <w:r w:rsidRPr="00EB3529">
        <w:t>., С. 212 – 225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 xml:space="preserve">Прудников В.М. «Государственное регулирование предпринимательской деятельности». Москва. </w:t>
      </w:r>
      <w:smartTag w:uri="urn:schemas-microsoft-com:office:smarttags" w:element="metricconverter">
        <w:smartTagPr>
          <w:attr w:name="ProductID" w:val="2010 г"/>
        </w:smartTagPr>
        <w:r w:rsidRPr="00EB3529">
          <w:t>2010 г</w:t>
        </w:r>
      </w:smartTag>
      <w:r w:rsidRPr="00EB3529">
        <w:t>., с. 197 – 211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>Закон РК «О регулировании торговой деятельности»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>Таможенный Кодекс Таможенного Союза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>Таможенный Кодекс РК</w:t>
      </w:r>
    </w:p>
    <w:p w:rsidR="001E7C37" w:rsidRPr="00EB3529" w:rsidRDefault="001E7C37" w:rsidP="001E7C37">
      <w:pPr>
        <w:numPr>
          <w:ilvl w:val="0"/>
          <w:numId w:val="1"/>
        </w:numPr>
        <w:spacing w:line="360" w:lineRule="auto"/>
        <w:jc w:val="both"/>
      </w:pPr>
      <w:r w:rsidRPr="00EB3529">
        <w:t>Закон РК «О специальных экономических зонах в Республике Казахстан»</w:t>
      </w:r>
    </w:p>
    <w:p w:rsidR="001E7C37" w:rsidRPr="00EB3529" w:rsidRDefault="001E7C37" w:rsidP="001E7C37">
      <w:pPr>
        <w:spacing w:line="360" w:lineRule="auto"/>
        <w:ind w:left="750"/>
        <w:jc w:val="both"/>
      </w:pPr>
    </w:p>
    <w:p w:rsidR="001E7C37" w:rsidRPr="00EB3529" w:rsidRDefault="001E7C37" w:rsidP="001E7C37">
      <w:pPr>
        <w:spacing w:line="360" w:lineRule="auto"/>
        <w:ind w:left="750"/>
        <w:jc w:val="both"/>
        <w:rPr>
          <w:b/>
        </w:rPr>
      </w:pPr>
      <w:r w:rsidRPr="00EB3529">
        <w:rPr>
          <w:b/>
        </w:rPr>
        <w:t>Краткие выводы</w:t>
      </w:r>
    </w:p>
    <w:p w:rsidR="001E7C37" w:rsidRPr="00EB3529" w:rsidRDefault="001E7C37" w:rsidP="001E7C37">
      <w:pPr>
        <w:pStyle w:val="a3"/>
        <w:numPr>
          <w:ilvl w:val="0"/>
          <w:numId w:val="16"/>
        </w:num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Внешнеэкономическая деятельность государства покоится на регулировании экономических, финансовых, научных, технико – технологических, культурных социальных видов деятельности между субъектами ВЭД по вопросам связанных с объектами ВЭД. Из разнообразия видов деятельности формы мирохозяйственных связей. </w:t>
      </w:r>
    </w:p>
    <w:p w:rsidR="001E7C37" w:rsidRPr="00EB3529" w:rsidRDefault="001E7C37" w:rsidP="001E7C37">
      <w:pPr>
        <w:pStyle w:val="a3"/>
        <w:numPr>
          <w:ilvl w:val="0"/>
          <w:numId w:val="16"/>
        </w:num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Казахстан, как новый субъект международных экономических отношений, определив цели и задачи государственного регулирования ВЭД использует опыт различных стран и применяет в своих связях различные методы, формы и инструменты, воздействия государства. </w:t>
      </w:r>
    </w:p>
    <w:p w:rsidR="001E7C37" w:rsidRPr="00EB3529" w:rsidRDefault="001E7C37" w:rsidP="001E7C37">
      <w:pPr>
        <w:pStyle w:val="a3"/>
        <w:numPr>
          <w:ilvl w:val="0"/>
          <w:numId w:val="16"/>
        </w:num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Важнейшей формой ВЭД является внешнеторговая деятельность. Государственное регулирование осуществляется на базе положений Конституции РК, ряде государственных законов и нормативных актах, общепризнанными принципами и нормами международного права и международными договорами. </w:t>
      </w:r>
    </w:p>
    <w:p w:rsidR="001E7C37" w:rsidRPr="00EB3529" w:rsidRDefault="001E7C37" w:rsidP="001E7C37">
      <w:pPr>
        <w:pStyle w:val="a3"/>
        <w:numPr>
          <w:ilvl w:val="0"/>
          <w:numId w:val="16"/>
        </w:numPr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На современное состояние мировой экономики большое влияние оказывают институциональные и индивидуальные инвесторы, и многие развитые страны одновременно являются импортерами и экспортерами капитала. В этих условиях государственное регулирование иностранных инвестиции должно обладать комплексом мер направленных на защиту, поддержки и повышение эффективности политики капиталовложений из – за рубежа. </w:t>
      </w:r>
    </w:p>
    <w:p w:rsidR="001E7C37" w:rsidRPr="00EB3529" w:rsidRDefault="001E7C37" w:rsidP="001E7C37">
      <w:pPr>
        <w:pStyle w:val="a3"/>
        <w:tabs>
          <w:tab w:val="left" w:pos="78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E7C37" w:rsidRPr="00EB3529" w:rsidRDefault="001E7C37" w:rsidP="001E7C37">
      <w:pPr>
        <w:pStyle w:val="a3"/>
        <w:tabs>
          <w:tab w:val="left" w:pos="2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C37" w:rsidRPr="00EB3529" w:rsidRDefault="001E7C37" w:rsidP="001E7C37">
      <w:pPr>
        <w:pStyle w:val="a3"/>
        <w:tabs>
          <w:tab w:val="left" w:pos="2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Вопросы и учебные задания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lastRenderedPageBreak/>
        <w:t xml:space="preserve">Рассмотрите различные трактовки понятий международные экономические отношения и внешнеэкономическая деятельность, их формы. Если у вас сложилось свое мнение, то объясните его. 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Составьте свое объяснение причин образования всемирного хозяйства, если таковое у вас не сложилось, то объясните существующих взглядов. 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Расскажите действие экономических, политических факторов европейской интеграции. Сравните их с факторами евразийского экономического союза. Какие преимущества и недостатки они имеют?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Дайте определение цели государственного регулирования ВЭД, а также вытекающих из него задач. Покажите, как они выполняются в реальной практике. 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Какие существуют методы регулирования, и какие инструменты в каждой из них используются?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>Какие формы и инструменты внешнеторговой деятельности вы знаете?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Представим себе, что вы эксперт в аппарате Президента, вам поручено рассмотреть динамику внешнеторгового оборота Казахстана и дать свое заключение. Какие рекомендации вы бы дали? </w:t>
      </w:r>
    </w:p>
    <w:p w:rsidR="001E7C37" w:rsidRPr="00EB3529" w:rsidRDefault="001E7C37" w:rsidP="001E7C37">
      <w:pPr>
        <w:pStyle w:val="a3"/>
        <w:numPr>
          <w:ilvl w:val="0"/>
          <w:numId w:val="17"/>
        </w:numPr>
        <w:tabs>
          <w:tab w:val="left" w:pos="28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sz w:val="24"/>
          <w:szCs w:val="24"/>
        </w:rPr>
        <w:t xml:space="preserve">Как вы понимаете термины государственное регулирование экспорта капитала, государственное регулирование импорта капитала, прямые иностранные инвестиции? </w:t>
      </w:r>
    </w:p>
    <w:p w:rsidR="001E7C37" w:rsidRPr="00EB3529" w:rsidRDefault="001E7C37" w:rsidP="001E7C37">
      <w:pPr>
        <w:pStyle w:val="a3"/>
        <w:tabs>
          <w:tab w:val="left" w:pos="2805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B3529">
        <w:rPr>
          <w:rFonts w:ascii="Times New Roman" w:hAnsi="Times New Roman"/>
          <w:b/>
          <w:sz w:val="24"/>
          <w:szCs w:val="24"/>
        </w:rPr>
        <w:t>Упражнение:</w:t>
      </w:r>
    </w:p>
    <w:p w:rsidR="001E7C37" w:rsidRPr="00EB3529" w:rsidRDefault="001E7C37" w:rsidP="001E7C37">
      <w:pPr>
        <w:spacing w:line="360" w:lineRule="auto"/>
        <w:jc w:val="both"/>
      </w:pPr>
      <w:r w:rsidRPr="00EB3529">
        <w:t>По данным Агентства по статистике РК в марте 2011г. т</w:t>
      </w:r>
      <w:r w:rsidRPr="00EB3529">
        <w:rPr>
          <w:lang w:val="kk-KZ"/>
        </w:rPr>
        <w:t xml:space="preserve">опливно-энергетические товары в общем объеме экспорта составили 77,7%. В общем объеме импорта </w:t>
      </w:r>
      <w:r w:rsidRPr="00EB3529">
        <w:t>49,8% составили машины, оборудование, транспортные средства, приборы и аппараты. Как государство может изменить данную ситуацию? Какие меры разработаны правительством Казахстана для увеличения доли несырьевого экспорта (программа «Дорожная карта бизнеса 2020»)?</w:t>
      </w:r>
    </w:p>
    <w:p w:rsidR="001E7C37" w:rsidRPr="00EB3529" w:rsidRDefault="001E7C37" w:rsidP="001E7C37">
      <w:pPr>
        <w:spacing w:line="360" w:lineRule="auto"/>
        <w:jc w:val="both"/>
      </w:pPr>
    </w:p>
    <w:p w:rsidR="005F6D89" w:rsidRDefault="005F6D89">
      <w:bookmarkStart w:id="0" w:name="_GoBack"/>
      <w:bookmarkEnd w:id="0"/>
    </w:p>
    <w:sectPr w:rsidR="005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E64"/>
    <w:multiLevelType w:val="hybridMultilevel"/>
    <w:tmpl w:val="A1F22B04"/>
    <w:lvl w:ilvl="0" w:tplc="16B20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51"/>
    <w:multiLevelType w:val="hybridMultilevel"/>
    <w:tmpl w:val="4D588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1FE4"/>
    <w:multiLevelType w:val="hybridMultilevel"/>
    <w:tmpl w:val="6E2850F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022743"/>
    <w:multiLevelType w:val="hybridMultilevel"/>
    <w:tmpl w:val="177A2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770D3"/>
    <w:multiLevelType w:val="hybridMultilevel"/>
    <w:tmpl w:val="486CE08C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B6F68"/>
    <w:multiLevelType w:val="hybridMultilevel"/>
    <w:tmpl w:val="92D6BC92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15F4F"/>
    <w:multiLevelType w:val="hybridMultilevel"/>
    <w:tmpl w:val="6CBCE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F571A"/>
    <w:multiLevelType w:val="hybridMultilevel"/>
    <w:tmpl w:val="AD6A592A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7749"/>
    <w:multiLevelType w:val="hybridMultilevel"/>
    <w:tmpl w:val="7FDCC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95F59"/>
    <w:multiLevelType w:val="hybridMultilevel"/>
    <w:tmpl w:val="32927C2E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54D7C"/>
    <w:multiLevelType w:val="hybridMultilevel"/>
    <w:tmpl w:val="B06E0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355CC"/>
    <w:multiLevelType w:val="hybridMultilevel"/>
    <w:tmpl w:val="C0261A88"/>
    <w:lvl w:ilvl="0" w:tplc="F3385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CE7481"/>
    <w:multiLevelType w:val="hybridMultilevel"/>
    <w:tmpl w:val="93080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A2045"/>
    <w:multiLevelType w:val="hybridMultilevel"/>
    <w:tmpl w:val="59544230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B2F25"/>
    <w:multiLevelType w:val="hybridMultilevel"/>
    <w:tmpl w:val="2C98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06E31"/>
    <w:multiLevelType w:val="hybridMultilevel"/>
    <w:tmpl w:val="269EC492"/>
    <w:lvl w:ilvl="0" w:tplc="8FF8B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81458"/>
    <w:multiLevelType w:val="hybridMultilevel"/>
    <w:tmpl w:val="BE80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8"/>
    <w:rsid w:val="00000838"/>
    <w:rsid w:val="001E7C37"/>
    <w:rsid w:val="005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C0EC8-33C9-4FF8-9B1B-30DAC5E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4268</Words>
  <Characters>24328</Characters>
  <Application>Microsoft Office Word</Application>
  <DocSecurity>0</DocSecurity>
  <Lines>202</Lines>
  <Paragraphs>57</Paragraphs>
  <ScaleCrop>false</ScaleCrop>
  <Company/>
  <LinksUpToDate>false</LinksUpToDate>
  <CharactersWithSpaces>28539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2</cp:revision>
  <dcterms:created xsi:type="dcterms:W3CDTF">2020-11-22T12:32:00Z</dcterms:created>
  <dcterms:modified xsi:type="dcterms:W3CDTF">2020-11-22T12:32:00Z</dcterms:modified>
</cp:coreProperties>
</file>